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7117F" w14:textId="77777777" w:rsidR="00E7009E"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10056915</w:t>
      </w:r>
    </w:p>
    <w:p w14:paraId="61CECA7B" w14:textId="6757C789" w:rsidR="004F2F40" w:rsidRPr="00E31450" w:rsidRDefault="004F2F40" w:rsidP="004F2F40">
      <w:pPr>
        <w:rPr>
          <w:b/>
          <w:sz w:val="28"/>
          <w:szCs w:val="28"/>
        </w:rPr>
      </w:pPr>
      <w:r>
        <w:rPr>
          <w:b/>
          <w:sz w:val="28"/>
          <w:szCs w:val="28"/>
        </w:rPr>
        <w:t>Solaranlagen je 38,4 kWp</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54E71040"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9924EF" w:rsidRPr="00A25366">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1D5A201D" w14:textId="77777777" w:rsidR="00770766" w:rsidRDefault="00770766">
      <w:pPr>
        <w:spacing w:after="200" w:line="276" w:lineRule="auto"/>
        <w:rPr>
          <w:rFonts w:cs="Arial"/>
          <w:bCs/>
        </w:rPr>
      </w:pPr>
      <w:r>
        <w:rPr>
          <w:rFonts w:cs="Arial"/>
          <w:bCs/>
        </w:rPr>
        <w:br w:type="page"/>
      </w:r>
    </w:p>
    <w:p w14:paraId="7DEC7B4C" w14:textId="320F029F" w:rsidR="00C717ED" w:rsidRPr="00CD2015" w:rsidRDefault="00B7765F" w:rsidP="00C717ED">
      <w:pPr>
        <w:jc w:val="both"/>
        <w:rPr>
          <w:rFonts w:cs="Arial"/>
        </w:rPr>
      </w:pPr>
      <w:r>
        <w:rPr>
          <w:rFonts w:cs="Arial"/>
          <w:b/>
          <w:bCs/>
        </w:rPr>
        <w:lastRenderedPageBreak/>
        <w:t>Hinweis zum Oberauftrag</w:t>
      </w:r>
      <w:r w:rsidR="00770766">
        <w:rPr>
          <w:rFonts w:cs="Arial"/>
          <w:b/>
          <w:bCs/>
        </w:rPr>
        <w:t xml:space="preserve"> in Bezug auf die Lose 4 – </w:t>
      </w:r>
      <w:r w:rsidR="001112C3">
        <w:rPr>
          <w:rFonts w:cs="Arial"/>
          <w:b/>
          <w:bCs/>
        </w:rPr>
        <w:t>8</w:t>
      </w:r>
    </w:p>
    <w:p w14:paraId="5A1A5EC5" w14:textId="77777777" w:rsidR="006E4D94" w:rsidRDefault="006E4D94" w:rsidP="001112C3">
      <w:pPr>
        <w:spacing w:after="200" w:line="276" w:lineRule="auto"/>
        <w:rPr>
          <w:rStyle w:val="Seitenzahl"/>
          <w:rFonts w:cs="Arial"/>
          <w:b/>
          <w:bCs/>
        </w:rPr>
      </w:pPr>
    </w:p>
    <w:p w14:paraId="40B2A4BA" w14:textId="77777777" w:rsidR="006E4D94" w:rsidRDefault="006E4D94" w:rsidP="006E4D94">
      <w:r>
        <w:rPr>
          <w:rFonts w:cs="Arial"/>
          <w:b/>
          <w:bCs/>
        </w:rPr>
        <w:t>Hinweis zur Abgabe von Angeboten für die Lose 1 bis 8 und zum Oberauftrag in Bezug auf die Lose 4 – 8</w:t>
      </w:r>
    </w:p>
    <w:p w14:paraId="20664266" w14:textId="77777777" w:rsidR="006E4D94" w:rsidRDefault="006E4D94" w:rsidP="006E4D94"/>
    <w:p w14:paraId="0E0DF9D5" w14:textId="77777777" w:rsidR="006E4D94" w:rsidRDefault="006E4D94" w:rsidP="006E4D94">
      <w:pPr>
        <w:jc w:val="both"/>
        <w:rPr>
          <w:rFonts w:cs="Arial"/>
        </w:rPr>
      </w:pPr>
      <w:r w:rsidRPr="00E8397C">
        <w:rPr>
          <w:rFonts w:cs="Arial"/>
        </w:rPr>
        <w:t>Das Bundesministerium für wirtschaftliche Zusammenarbeit und Entwicklung (BMZ) (Oberauftraggeber) beabsichtigt, die GIZ mit dem Vorhaben zu beauftragen. Der GIZ liegt jedoch noch</w:t>
      </w:r>
      <w:r w:rsidRPr="00CD2015">
        <w:rPr>
          <w:rFonts w:cs="Arial"/>
        </w:rPr>
        <w:t xml:space="preserve"> kein</w:t>
      </w:r>
      <w:r>
        <w:rPr>
          <w:rFonts w:cs="Arial"/>
        </w:rPr>
        <w:t xml:space="preserve"> vollständiger</w:t>
      </w:r>
      <w:r w:rsidRPr="00CD2015">
        <w:rPr>
          <w:rFonts w:cs="Arial"/>
        </w:rPr>
        <w:t xml:space="preserve"> Auftrag des </w:t>
      </w:r>
      <w:r w:rsidRPr="008A529B">
        <w:rPr>
          <w:rFonts w:cs="Arial"/>
        </w:rPr>
        <w:t xml:space="preserve">Oberauftraggebers für die Lose 4 bis 8 vor. Für den Fall, dass die GIZ den Oberauftrag nicht vor dem Ablauf der Angebotsbindefrist erhält, behält sie sich vor, keinen Zuschlag zu erteilen. Dies kann auch einzelne Lose (4 bis 8) </w:t>
      </w:r>
      <w:r>
        <w:rPr>
          <w:rFonts w:cs="Arial"/>
        </w:rPr>
        <w:t>betreffen, die nicht vergeben werden können.</w:t>
      </w:r>
    </w:p>
    <w:p w14:paraId="49360B63" w14:textId="77777777" w:rsidR="006E4D94" w:rsidRDefault="006E4D94" w:rsidP="006E4D94">
      <w:pPr>
        <w:jc w:val="both"/>
        <w:rPr>
          <w:rFonts w:cs="Arial"/>
        </w:rPr>
      </w:pPr>
    </w:p>
    <w:p w14:paraId="395FB8D8" w14:textId="77777777" w:rsidR="006E4D94" w:rsidRDefault="006E4D94" w:rsidP="006E4D94">
      <w:pPr>
        <w:jc w:val="both"/>
        <w:rPr>
          <w:rFonts w:cs="Arial"/>
        </w:rPr>
      </w:pPr>
      <w:r>
        <w:rPr>
          <w:rFonts w:cs="Arial"/>
        </w:rPr>
        <w:t xml:space="preserve">Die </w:t>
      </w:r>
      <w:r w:rsidRPr="00770766">
        <w:rPr>
          <w:rFonts w:cs="Arial"/>
          <w:u w:val="single"/>
        </w:rPr>
        <w:t xml:space="preserve">Lose 1 – 3 </w:t>
      </w:r>
      <w:r>
        <w:rPr>
          <w:rFonts w:cs="Arial"/>
          <w:u w:val="single"/>
        </w:rPr>
        <w:t xml:space="preserve">sind hiervon </w:t>
      </w:r>
      <w:r w:rsidRPr="00770766">
        <w:rPr>
          <w:rFonts w:cs="Arial"/>
          <w:u w:val="single"/>
        </w:rPr>
        <w:t>nicht betroffen</w:t>
      </w:r>
      <w:r w:rsidRPr="008A529B">
        <w:rPr>
          <w:rFonts w:cs="Arial"/>
        </w:rPr>
        <w:t>, diese</w:t>
      </w:r>
      <w:r>
        <w:rPr>
          <w:rFonts w:cs="Arial"/>
        </w:rPr>
        <w:t xml:space="preserve"> werden ohne Vorbehalt vergeben. Die Lose 1 bis 3 sind zwingend anzubieten, wobei zu beachten ist, dass der Preis für jedes Los identisch sein muss bzw. dem Preis von Los 1 entsprechen muss. Für die Lose 1 bis 3 kann für jedes Los auch eine Option (25 Stck. pro Los, Gesamt 75 Stck.) angeboten werden. Die Optionen können, müssen aber nicht angeboten werden. Werden Sie angeboten, </w:t>
      </w:r>
      <w:r w:rsidRPr="00451508">
        <w:rPr>
          <w:rFonts w:cs="Arial"/>
        </w:rPr>
        <w:t xml:space="preserve">hat die Auftraggeberin das Recht den Leistungsumfang des ursprünglichen Auftrags </w:t>
      </w:r>
      <w:r>
        <w:rPr>
          <w:rFonts w:cs="Arial"/>
        </w:rPr>
        <w:t>um die Optionen</w:t>
      </w:r>
      <w:r w:rsidRPr="00451508">
        <w:rPr>
          <w:rFonts w:cs="Arial"/>
        </w:rPr>
        <w:t xml:space="preserve"> zu erweitern, indem sie die Stückzahl durch schriftliche Mitteilung an den Auftragnehmer um die angebotene Optionsmenge erhöht. Der Abruf dieser Option erfolgt innerhalb der Zuschlags-/Bindefrist, wenn die Verfügbarkeit des Budgets und die Wirtschaftlichkeit gegeben ist.</w:t>
      </w:r>
    </w:p>
    <w:p w14:paraId="2843152E" w14:textId="77777777" w:rsidR="006E4D94" w:rsidRDefault="006E4D94" w:rsidP="006E4D94">
      <w:pPr>
        <w:jc w:val="both"/>
        <w:rPr>
          <w:rFonts w:cs="Arial"/>
        </w:rPr>
      </w:pPr>
    </w:p>
    <w:p w14:paraId="30904FF7" w14:textId="77777777" w:rsidR="006E4D94" w:rsidRDefault="006E4D94" w:rsidP="006E4D94">
      <w:pPr>
        <w:jc w:val="both"/>
        <w:rPr>
          <w:rFonts w:cs="Arial"/>
        </w:rPr>
      </w:pPr>
      <w:r>
        <w:rPr>
          <w:rFonts w:cs="Arial"/>
        </w:rPr>
        <w:t>Zu beachten ist auch hier, dass die Stückpreise für die Optionen den anderen Stückpreisen aus Los 1 bis 3 entsprechen müssen.</w:t>
      </w:r>
    </w:p>
    <w:p w14:paraId="2B5890CC" w14:textId="77777777" w:rsidR="006E4D94" w:rsidRDefault="006E4D94" w:rsidP="006E4D94">
      <w:pPr>
        <w:jc w:val="both"/>
        <w:rPr>
          <w:rFonts w:cs="Arial"/>
        </w:rPr>
      </w:pPr>
    </w:p>
    <w:p w14:paraId="7FB7A252" w14:textId="791371FD" w:rsidR="006E4D94" w:rsidRPr="005C5D6A" w:rsidRDefault="006E4D94" w:rsidP="006E4D94">
      <w:pPr>
        <w:jc w:val="both"/>
        <w:rPr>
          <w:rFonts w:cs="Arial"/>
        </w:rPr>
      </w:pPr>
      <w:r>
        <w:rPr>
          <w:rFonts w:cs="Arial"/>
        </w:rPr>
        <w:t xml:space="preserve">Der Bieter kann für die Lose 4 bis 8 anbieten, allerdings setzt die </w:t>
      </w:r>
      <w:r w:rsidRPr="005C5D6A">
        <w:rPr>
          <w:rFonts w:cs="Arial"/>
        </w:rPr>
        <w:t xml:space="preserve">Teilnahme an den Losen 4 </w:t>
      </w:r>
      <w:r>
        <w:rPr>
          <w:rFonts w:cs="Arial"/>
        </w:rPr>
        <w:t xml:space="preserve">bis </w:t>
      </w:r>
      <w:r w:rsidRPr="005C5D6A">
        <w:rPr>
          <w:rFonts w:cs="Arial"/>
        </w:rPr>
        <w:t>8 voraus, dass der Bieter auch die Lose 1 - 3 angeboten hat.</w:t>
      </w:r>
      <w:r>
        <w:rPr>
          <w:rFonts w:cs="Arial"/>
        </w:rPr>
        <w:t xml:space="preserve"> Zu beachten ist, dass die Preise für die Lose 4 bis 8 ebenfalls dem Preis für Los 1 entsprechen müssen (identischer Preis für alle angebotenen Lose!).</w:t>
      </w:r>
    </w:p>
    <w:p w14:paraId="42DB172E" w14:textId="77777777" w:rsidR="006E4D94" w:rsidRDefault="006E4D94" w:rsidP="006E4D94">
      <w:pPr>
        <w:jc w:val="both"/>
        <w:rPr>
          <w:rFonts w:cs="Arial"/>
        </w:rPr>
      </w:pPr>
    </w:p>
    <w:p w14:paraId="6A150F0F" w14:textId="77777777" w:rsidR="006E4D94" w:rsidRPr="001B62F3" w:rsidRDefault="006E4D94" w:rsidP="006E4D94">
      <w:pPr>
        <w:jc w:val="both"/>
        <w:rPr>
          <w:rFonts w:cs="Arial"/>
        </w:rPr>
      </w:pPr>
      <w:r w:rsidRPr="001B62F3">
        <w:rPr>
          <w:rFonts w:cs="Arial"/>
        </w:rPr>
        <w:t xml:space="preserve">Bitte geben Sie </w:t>
      </w:r>
      <w:r>
        <w:rPr>
          <w:rFonts w:cs="Arial"/>
        </w:rPr>
        <w:t>im Preisblatt (siehe Exceldatei Spezifikation und Preisblatt unter dem Reiter Preise pro Los)</w:t>
      </w:r>
      <w:r w:rsidRPr="001B62F3">
        <w:rPr>
          <w:rFonts w:cs="Arial"/>
        </w:rPr>
        <w:t xml:space="preserve"> beginnend bei Los 1 die maximale Anzahl an Losen an, die Sie verbindlich gemäß Ausschreibungsanforderung anbieten.</w:t>
      </w:r>
    </w:p>
    <w:p w14:paraId="44EF9A00" w14:textId="77777777" w:rsidR="006E4D94" w:rsidRDefault="006E4D94" w:rsidP="006E4D94">
      <w:pPr>
        <w:rPr>
          <w:rFonts w:cs="Arial"/>
        </w:rPr>
      </w:pPr>
    </w:p>
    <w:p w14:paraId="36F3CCE4" w14:textId="77777777" w:rsidR="006E4D94" w:rsidRPr="001B62F3" w:rsidRDefault="006E4D94" w:rsidP="006E4D94">
      <w:pPr>
        <w:jc w:val="both"/>
        <w:rPr>
          <w:rFonts w:cs="Arial"/>
        </w:rPr>
      </w:pPr>
      <w:r w:rsidRPr="001B62F3">
        <w:rPr>
          <w:rFonts w:cs="Arial"/>
        </w:rPr>
        <w:t>Die Exportdokumente sind mengenunabhängig und müssen in Los 1 unabhängig der Zahl der beauftragten Lose bepreist werden.</w:t>
      </w:r>
    </w:p>
    <w:p w14:paraId="420806F8" w14:textId="77777777" w:rsidR="006E4D94" w:rsidRPr="00F41196" w:rsidRDefault="006E4D94" w:rsidP="006E4D94">
      <w:pPr>
        <w:jc w:val="both"/>
        <w:rPr>
          <w:rFonts w:cs="Arial"/>
        </w:rPr>
      </w:pPr>
    </w:p>
    <w:tbl>
      <w:tblPr>
        <w:tblW w:w="8350" w:type="dxa"/>
        <w:tblCellMar>
          <w:left w:w="70" w:type="dxa"/>
          <w:right w:w="70" w:type="dxa"/>
        </w:tblCellMar>
        <w:tblLook w:val="04A0" w:firstRow="1" w:lastRow="0" w:firstColumn="1" w:lastColumn="0" w:noHBand="0" w:noVBand="1"/>
      </w:tblPr>
      <w:tblGrid>
        <w:gridCol w:w="1200"/>
        <w:gridCol w:w="1164"/>
        <w:gridCol w:w="2920"/>
        <w:gridCol w:w="2920"/>
        <w:gridCol w:w="146"/>
      </w:tblGrid>
      <w:tr w:rsidR="006E4D94" w:rsidRPr="00F41196" w14:paraId="15162268" w14:textId="77777777" w:rsidTr="00DB48E0">
        <w:trPr>
          <w:gridAfter w:val="1"/>
          <w:wAfter w:w="146" w:type="dxa"/>
          <w:trHeight w:val="491"/>
        </w:trPr>
        <w:tc>
          <w:tcPr>
            <w:tcW w:w="1200" w:type="dxa"/>
            <w:vMerge w:val="restart"/>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49001E27" w14:textId="77777777" w:rsidR="006E4D94" w:rsidRPr="00F41196" w:rsidRDefault="006E4D94" w:rsidP="00DB48E0">
            <w:pPr>
              <w:jc w:val="center"/>
              <w:rPr>
                <w:rFonts w:ascii="Calibri" w:eastAsia="Times New Roman" w:hAnsi="Calibri" w:cs="Calibri"/>
                <w:b/>
                <w:bCs/>
                <w:color w:val="000000"/>
                <w:sz w:val="20"/>
                <w:szCs w:val="20"/>
                <w:lang w:eastAsia="de-DE"/>
              </w:rPr>
            </w:pPr>
            <w:r w:rsidRPr="00F41196">
              <w:rPr>
                <w:rFonts w:ascii="Calibri" w:eastAsia="Times New Roman" w:hAnsi="Calibri" w:cs="Calibri"/>
                <w:b/>
                <w:bCs/>
                <w:color w:val="000000"/>
                <w:sz w:val="20"/>
                <w:szCs w:val="20"/>
                <w:lang w:eastAsia="de-DE"/>
              </w:rPr>
              <w:t>Los</w:t>
            </w:r>
          </w:p>
        </w:tc>
        <w:tc>
          <w:tcPr>
            <w:tcW w:w="1164" w:type="dxa"/>
            <w:vMerge w:val="restart"/>
            <w:tcBorders>
              <w:top w:val="single" w:sz="4" w:space="0" w:color="auto"/>
              <w:left w:val="single" w:sz="4" w:space="0" w:color="auto"/>
              <w:bottom w:val="single" w:sz="4" w:space="0" w:color="auto"/>
              <w:right w:val="single" w:sz="4" w:space="0" w:color="auto"/>
            </w:tcBorders>
            <w:shd w:val="clear" w:color="auto" w:fill="FFC000"/>
            <w:vAlign w:val="bottom"/>
            <w:hideMark/>
          </w:tcPr>
          <w:p w14:paraId="249191A4" w14:textId="77777777" w:rsidR="006E4D94" w:rsidRPr="00F41196" w:rsidRDefault="006E4D94" w:rsidP="00DB48E0">
            <w:pPr>
              <w:jc w:val="center"/>
              <w:rPr>
                <w:rFonts w:ascii="Calibri" w:eastAsia="Times New Roman" w:hAnsi="Calibri" w:cs="Calibri"/>
                <w:b/>
                <w:bCs/>
                <w:color w:val="000000"/>
                <w:sz w:val="20"/>
                <w:szCs w:val="20"/>
                <w:lang w:eastAsia="de-DE"/>
              </w:rPr>
            </w:pPr>
            <w:r w:rsidRPr="00F41196">
              <w:rPr>
                <w:rFonts w:ascii="Calibri" w:eastAsia="Times New Roman" w:hAnsi="Calibri" w:cs="Calibri"/>
                <w:b/>
                <w:bCs/>
                <w:color w:val="000000"/>
                <w:sz w:val="20"/>
                <w:szCs w:val="20"/>
                <w:lang w:eastAsia="de-DE"/>
              </w:rPr>
              <w:t>Anzahl</w:t>
            </w:r>
            <w:r w:rsidRPr="00F41196">
              <w:rPr>
                <w:rFonts w:ascii="Calibri" w:eastAsia="Times New Roman" w:hAnsi="Calibri" w:cs="Calibri"/>
                <w:b/>
                <w:bCs/>
                <w:color w:val="000000"/>
                <w:sz w:val="20"/>
                <w:szCs w:val="20"/>
                <w:lang w:eastAsia="de-DE"/>
              </w:rPr>
              <w:br/>
              <w:t>PV-Anlagen</w:t>
            </w:r>
          </w:p>
        </w:tc>
        <w:tc>
          <w:tcPr>
            <w:tcW w:w="2920" w:type="dxa"/>
            <w:vMerge w:val="restart"/>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7F8D0163" w14:textId="77777777" w:rsidR="006E4D94" w:rsidRPr="00F41196" w:rsidRDefault="006E4D94" w:rsidP="00DB48E0">
            <w:pPr>
              <w:jc w:val="center"/>
              <w:rPr>
                <w:rFonts w:ascii="Calibri" w:eastAsia="Times New Roman" w:hAnsi="Calibri" w:cs="Calibri"/>
                <w:b/>
                <w:bCs/>
                <w:color w:val="000000"/>
                <w:sz w:val="20"/>
                <w:szCs w:val="20"/>
                <w:lang w:eastAsia="de-DE"/>
              </w:rPr>
            </w:pPr>
            <w:r w:rsidRPr="00F41196">
              <w:rPr>
                <w:rFonts w:ascii="Calibri" w:eastAsia="Times New Roman" w:hAnsi="Calibri" w:cs="Calibri"/>
                <w:b/>
                <w:bCs/>
                <w:color w:val="000000"/>
                <w:sz w:val="20"/>
                <w:szCs w:val="20"/>
                <w:lang w:eastAsia="de-DE"/>
              </w:rPr>
              <w:t>Artikel</w:t>
            </w:r>
          </w:p>
        </w:tc>
        <w:tc>
          <w:tcPr>
            <w:tcW w:w="2920" w:type="dxa"/>
            <w:vMerge w:val="restart"/>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5F7B37BC" w14:textId="77777777" w:rsidR="006E4D94" w:rsidRPr="00F41196" w:rsidRDefault="006E4D94" w:rsidP="00DB48E0">
            <w:pPr>
              <w:jc w:val="center"/>
              <w:rPr>
                <w:rFonts w:ascii="Calibri" w:eastAsia="Times New Roman" w:hAnsi="Calibri" w:cs="Calibri"/>
                <w:b/>
                <w:bCs/>
                <w:color w:val="000000"/>
                <w:sz w:val="20"/>
                <w:szCs w:val="20"/>
                <w:lang w:eastAsia="de-DE"/>
              </w:rPr>
            </w:pPr>
            <w:r w:rsidRPr="00F41196">
              <w:rPr>
                <w:rFonts w:ascii="Calibri" w:eastAsia="Times New Roman" w:hAnsi="Calibri" w:cs="Calibri"/>
                <w:b/>
                <w:bCs/>
                <w:color w:val="000000"/>
                <w:sz w:val="20"/>
                <w:szCs w:val="20"/>
                <w:lang w:eastAsia="de-DE"/>
              </w:rPr>
              <w:t>Auftrag wird vergeben</w:t>
            </w:r>
          </w:p>
        </w:tc>
      </w:tr>
      <w:tr w:rsidR="006E4D94" w:rsidRPr="00F41196" w14:paraId="0F11D93F" w14:textId="77777777" w:rsidTr="00DB48E0">
        <w:trPr>
          <w:trHeight w:val="495"/>
        </w:trPr>
        <w:tc>
          <w:tcPr>
            <w:tcW w:w="1200"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0D32B3F8" w14:textId="77777777" w:rsidR="006E4D94" w:rsidRPr="00F41196" w:rsidRDefault="006E4D94" w:rsidP="00DB48E0">
            <w:pPr>
              <w:rPr>
                <w:rFonts w:ascii="Calibri" w:eastAsia="Times New Roman" w:hAnsi="Calibri" w:cs="Calibri"/>
                <w:color w:val="000000"/>
                <w:sz w:val="20"/>
                <w:szCs w:val="20"/>
                <w:lang w:eastAsia="de-DE"/>
              </w:rPr>
            </w:pPr>
          </w:p>
        </w:tc>
        <w:tc>
          <w:tcPr>
            <w:tcW w:w="1164"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6D2EEFCE"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3CB2B350"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2E95D91C"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tcBorders>
              <w:top w:val="nil"/>
              <w:left w:val="nil"/>
              <w:bottom w:val="nil"/>
              <w:right w:val="nil"/>
            </w:tcBorders>
            <w:noWrap/>
            <w:vAlign w:val="bottom"/>
            <w:hideMark/>
          </w:tcPr>
          <w:p w14:paraId="45B6C0DE" w14:textId="77777777" w:rsidR="006E4D94" w:rsidRPr="00F41196" w:rsidRDefault="006E4D94" w:rsidP="00DB48E0">
            <w:pPr>
              <w:jc w:val="center"/>
              <w:rPr>
                <w:rFonts w:ascii="Calibri" w:eastAsia="Times New Roman" w:hAnsi="Calibri" w:cs="Calibri"/>
                <w:color w:val="000000"/>
                <w:sz w:val="20"/>
                <w:szCs w:val="20"/>
                <w:lang w:eastAsia="de-DE"/>
              </w:rPr>
            </w:pPr>
          </w:p>
        </w:tc>
      </w:tr>
      <w:tr w:rsidR="006E4D94" w:rsidRPr="00F41196" w14:paraId="349EA783" w14:textId="77777777" w:rsidTr="00DB48E0">
        <w:trPr>
          <w:trHeight w:val="70"/>
        </w:trPr>
        <w:tc>
          <w:tcPr>
            <w:tcW w:w="1200"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3AC7FC23" w14:textId="77777777" w:rsidR="006E4D94" w:rsidRPr="00F41196" w:rsidRDefault="006E4D94" w:rsidP="00DB48E0">
            <w:pPr>
              <w:rPr>
                <w:rFonts w:ascii="Calibri" w:eastAsia="Times New Roman" w:hAnsi="Calibri" w:cs="Calibri"/>
                <w:color w:val="000000"/>
                <w:sz w:val="20"/>
                <w:szCs w:val="20"/>
                <w:lang w:eastAsia="de-DE"/>
              </w:rPr>
            </w:pPr>
          </w:p>
        </w:tc>
        <w:tc>
          <w:tcPr>
            <w:tcW w:w="1164"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252091AD"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6D814DD8"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149459EC"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tcBorders>
              <w:top w:val="nil"/>
              <w:left w:val="nil"/>
              <w:bottom w:val="nil"/>
              <w:right w:val="nil"/>
            </w:tcBorders>
            <w:noWrap/>
            <w:vAlign w:val="bottom"/>
            <w:hideMark/>
          </w:tcPr>
          <w:p w14:paraId="1A4A6F5B"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7E0DA273" w14:textId="77777777" w:rsidTr="00DB48E0">
        <w:trPr>
          <w:trHeight w:val="300"/>
        </w:trPr>
        <w:tc>
          <w:tcPr>
            <w:tcW w:w="1200" w:type="dxa"/>
            <w:vMerge w:val="restart"/>
            <w:tcBorders>
              <w:top w:val="nil"/>
              <w:left w:val="single" w:sz="4" w:space="0" w:color="auto"/>
              <w:bottom w:val="single" w:sz="4" w:space="0" w:color="auto"/>
              <w:right w:val="single" w:sz="4" w:space="0" w:color="auto"/>
            </w:tcBorders>
            <w:shd w:val="clear" w:color="000000" w:fill="83CCEB"/>
            <w:noWrap/>
            <w:vAlign w:val="bottom"/>
            <w:hideMark/>
          </w:tcPr>
          <w:p w14:paraId="458D21EF"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1</w:t>
            </w:r>
          </w:p>
        </w:tc>
        <w:tc>
          <w:tcPr>
            <w:tcW w:w="1164" w:type="dxa"/>
            <w:tcBorders>
              <w:top w:val="nil"/>
              <w:left w:val="nil"/>
              <w:bottom w:val="single" w:sz="4" w:space="0" w:color="auto"/>
              <w:right w:val="single" w:sz="4" w:space="0" w:color="auto"/>
            </w:tcBorders>
            <w:shd w:val="clear" w:color="000000" w:fill="83CCEB"/>
            <w:noWrap/>
            <w:vAlign w:val="bottom"/>
            <w:hideMark/>
          </w:tcPr>
          <w:p w14:paraId="525BA364"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50</w:t>
            </w:r>
          </w:p>
        </w:tc>
        <w:tc>
          <w:tcPr>
            <w:tcW w:w="2920" w:type="dxa"/>
            <w:vMerge w:val="restart"/>
            <w:tcBorders>
              <w:top w:val="nil"/>
              <w:left w:val="single" w:sz="4" w:space="0" w:color="auto"/>
              <w:bottom w:val="single" w:sz="4" w:space="0" w:color="auto"/>
              <w:right w:val="single" w:sz="4" w:space="0" w:color="auto"/>
            </w:tcBorders>
            <w:shd w:val="clear" w:color="000000" w:fill="83CCEB"/>
            <w:noWrap/>
            <w:vAlign w:val="center"/>
            <w:hideMark/>
          </w:tcPr>
          <w:p w14:paraId="20981DCE"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Solaranlage 38,4 kWp</w:t>
            </w:r>
          </w:p>
        </w:tc>
        <w:tc>
          <w:tcPr>
            <w:tcW w:w="2920" w:type="dxa"/>
            <w:vMerge w:val="restart"/>
            <w:tcBorders>
              <w:top w:val="nil"/>
              <w:left w:val="single" w:sz="4" w:space="0" w:color="auto"/>
              <w:bottom w:val="single" w:sz="4" w:space="0" w:color="auto"/>
              <w:right w:val="single" w:sz="4" w:space="0" w:color="auto"/>
            </w:tcBorders>
            <w:shd w:val="clear" w:color="000000" w:fill="83CCEB"/>
            <w:vAlign w:val="center"/>
            <w:hideMark/>
          </w:tcPr>
          <w:p w14:paraId="06BC1F96"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ja,</w:t>
            </w:r>
            <w:r w:rsidRPr="00F41196">
              <w:rPr>
                <w:rFonts w:ascii="Calibri" w:eastAsia="Times New Roman" w:hAnsi="Calibri" w:cs="Calibri"/>
                <w:color w:val="000000"/>
                <w:sz w:val="20"/>
                <w:szCs w:val="20"/>
                <w:lang w:eastAsia="de-DE"/>
              </w:rPr>
              <w:br/>
              <w:t>Optionen (25 Stück) bei Bedarf</w:t>
            </w:r>
          </w:p>
        </w:tc>
        <w:tc>
          <w:tcPr>
            <w:tcW w:w="146" w:type="dxa"/>
            <w:vAlign w:val="center"/>
            <w:hideMark/>
          </w:tcPr>
          <w:p w14:paraId="7A14765C"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179C49AD" w14:textId="77777777" w:rsidTr="00DB48E0">
        <w:trPr>
          <w:trHeight w:val="300"/>
        </w:trPr>
        <w:tc>
          <w:tcPr>
            <w:tcW w:w="1200" w:type="dxa"/>
            <w:vMerge/>
            <w:tcBorders>
              <w:top w:val="nil"/>
              <w:left w:val="single" w:sz="4" w:space="0" w:color="auto"/>
              <w:bottom w:val="single" w:sz="4" w:space="0" w:color="auto"/>
              <w:right w:val="single" w:sz="4" w:space="0" w:color="auto"/>
            </w:tcBorders>
            <w:vAlign w:val="center"/>
            <w:hideMark/>
          </w:tcPr>
          <w:p w14:paraId="6C1E1FDE" w14:textId="77777777" w:rsidR="006E4D94" w:rsidRPr="00F41196" w:rsidRDefault="006E4D94" w:rsidP="00DB48E0">
            <w:pPr>
              <w:rPr>
                <w:rFonts w:ascii="Calibri" w:eastAsia="Times New Roman" w:hAnsi="Calibri" w:cs="Calibri"/>
                <w:color w:val="000000"/>
                <w:sz w:val="20"/>
                <w:szCs w:val="20"/>
                <w:lang w:eastAsia="de-DE"/>
              </w:rPr>
            </w:pPr>
          </w:p>
        </w:tc>
        <w:tc>
          <w:tcPr>
            <w:tcW w:w="1164" w:type="dxa"/>
            <w:tcBorders>
              <w:top w:val="nil"/>
              <w:left w:val="nil"/>
              <w:bottom w:val="single" w:sz="4" w:space="0" w:color="auto"/>
              <w:right w:val="single" w:sz="4" w:space="0" w:color="auto"/>
            </w:tcBorders>
            <w:shd w:val="clear" w:color="000000" w:fill="83CCEB"/>
            <w:noWrap/>
            <w:vAlign w:val="bottom"/>
            <w:hideMark/>
          </w:tcPr>
          <w:p w14:paraId="5AB97EDC"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25</w:t>
            </w:r>
          </w:p>
        </w:tc>
        <w:tc>
          <w:tcPr>
            <w:tcW w:w="2920" w:type="dxa"/>
            <w:vMerge/>
            <w:tcBorders>
              <w:top w:val="nil"/>
              <w:left w:val="single" w:sz="4" w:space="0" w:color="auto"/>
              <w:bottom w:val="single" w:sz="4" w:space="0" w:color="auto"/>
              <w:right w:val="single" w:sz="4" w:space="0" w:color="auto"/>
            </w:tcBorders>
            <w:vAlign w:val="center"/>
            <w:hideMark/>
          </w:tcPr>
          <w:p w14:paraId="19449777"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nil"/>
              <w:left w:val="single" w:sz="4" w:space="0" w:color="auto"/>
              <w:bottom w:val="single" w:sz="4" w:space="0" w:color="auto"/>
              <w:right w:val="single" w:sz="4" w:space="0" w:color="auto"/>
            </w:tcBorders>
            <w:vAlign w:val="center"/>
            <w:hideMark/>
          </w:tcPr>
          <w:p w14:paraId="77736607"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vAlign w:val="center"/>
            <w:hideMark/>
          </w:tcPr>
          <w:p w14:paraId="211E046B"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6CFEC524" w14:textId="77777777" w:rsidTr="00DB48E0">
        <w:trPr>
          <w:trHeight w:val="300"/>
        </w:trPr>
        <w:tc>
          <w:tcPr>
            <w:tcW w:w="1200" w:type="dxa"/>
            <w:vMerge w:val="restart"/>
            <w:tcBorders>
              <w:top w:val="nil"/>
              <w:left w:val="single" w:sz="4" w:space="0" w:color="auto"/>
              <w:bottom w:val="single" w:sz="4" w:space="0" w:color="auto"/>
              <w:right w:val="single" w:sz="4" w:space="0" w:color="auto"/>
            </w:tcBorders>
            <w:shd w:val="clear" w:color="000000" w:fill="83CCEB"/>
            <w:noWrap/>
            <w:vAlign w:val="bottom"/>
            <w:hideMark/>
          </w:tcPr>
          <w:p w14:paraId="61C32C4A"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2</w:t>
            </w:r>
          </w:p>
        </w:tc>
        <w:tc>
          <w:tcPr>
            <w:tcW w:w="1164" w:type="dxa"/>
            <w:tcBorders>
              <w:top w:val="nil"/>
              <w:left w:val="nil"/>
              <w:bottom w:val="single" w:sz="4" w:space="0" w:color="auto"/>
              <w:right w:val="single" w:sz="4" w:space="0" w:color="auto"/>
            </w:tcBorders>
            <w:shd w:val="clear" w:color="000000" w:fill="83CCEB"/>
            <w:noWrap/>
            <w:vAlign w:val="bottom"/>
            <w:hideMark/>
          </w:tcPr>
          <w:p w14:paraId="178706CD"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50</w:t>
            </w:r>
          </w:p>
        </w:tc>
        <w:tc>
          <w:tcPr>
            <w:tcW w:w="2920" w:type="dxa"/>
            <w:vMerge/>
            <w:tcBorders>
              <w:top w:val="nil"/>
              <w:left w:val="single" w:sz="4" w:space="0" w:color="auto"/>
              <w:bottom w:val="single" w:sz="4" w:space="0" w:color="auto"/>
              <w:right w:val="single" w:sz="4" w:space="0" w:color="auto"/>
            </w:tcBorders>
            <w:vAlign w:val="center"/>
            <w:hideMark/>
          </w:tcPr>
          <w:p w14:paraId="321C99E0"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nil"/>
              <w:left w:val="single" w:sz="4" w:space="0" w:color="auto"/>
              <w:bottom w:val="single" w:sz="4" w:space="0" w:color="auto"/>
              <w:right w:val="single" w:sz="4" w:space="0" w:color="auto"/>
            </w:tcBorders>
            <w:vAlign w:val="center"/>
            <w:hideMark/>
          </w:tcPr>
          <w:p w14:paraId="0E47F115"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vAlign w:val="center"/>
            <w:hideMark/>
          </w:tcPr>
          <w:p w14:paraId="78F869C6"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7B5A1620" w14:textId="77777777" w:rsidTr="00DB48E0">
        <w:trPr>
          <w:trHeight w:val="300"/>
        </w:trPr>
        <w:tc>
          <w:tcPr>
            <w:tcW w:w="1200" w:type="dxa"/>
            <w:vMerge/>
            <w:tcBorders>
              <w:top w:val="nil"/>
              <w:left w:val="single" w:sz="4" w:space="0" w:color="auto"/>
              <w:bottom w:val="single" w:sz="4" w:space="0" w:color="auto"/>
              <w:right w:val="single" w:sz="4" w:space="0" w:color="auto"/>
            </w:tcBorders>
            <w:vAlign w:val="center"/>
            <w:hideMark/>
          </w:tcPr>
          <w:p w14:paraId="04DDEBCB" w14:textId="77777777" w:rsidR="006E4D94" w:rsidRPr="00F41196" w:rsidRDefault="006E4D94" w:rsidP="00DB48E0">
            <w:pPr>
              <w:rPr>
                <w:rFonts w:ascii="Calibri" w:eastAsia="Times New Roman" w:hAnsi="Calibri" w:cs="Calibri"/>
                <w:color w:val="000000"/>
                <w:sz w:val="20"/>
                <w:szCs w:val="20"/>
                <w:lang w:eastAsia="de-DE"/>
              </w:rPr>
            </w:pPr>
          </w:p>
        </w:tc>
        <w:tc>
          <w:tcPr>
            <w:tcW w:w="1164" w:type="dxa"/>
            <w:tcBorders>
              <w:top w:val="nil"/>
              <w:left w:val="nil"/>
              <w:bottom w:val="single" w:sz="4" w:space="0" w:color="auto"/>
              <w:right w:val="single" w:sz="4" w:space="0" w:color="auto"/>
            </w:tcBorders>
            <w:shd w:val="clear" w:color="000000" w:fill="83CCEB"/>
            <w:noWrap/>
            <w:vAlign w:val="bottom"/>
            <w:hideMark/>
          </w:tcPr>
          <w:p w14:paraId="50AB8C02"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25</w:t>
            </w:r>
          </w:p>
        </w:tc>
        <w:tc>
          <w:tcPr>
            <w:tcW w:w="2920" w:type="dxa"/>
            <w:vMerge/>
            <w:tcBorders>
              <w:top w:val="nil"/>
              <w:left w:val="single" w:sz="4" w:space="0" w:color="auto"/>
              <w:bottom w:val="single" w:sz="4" w:space="0" w:color="auto"/>
              <w:right w:val="single" w:sz="4" w:space="0" w:color="auto"/>
            </w:tcBorders>
            <w:vAlign w:val="center"/>
            <w:hideMark/>
          </w:tcPr>
          <w:p w14:paraId="60270A95"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nil"/>
              <w:left w:val="single" w:sz="4" w:space="0" w:color="auto"/>
              <w:bottom w:val="single" w:sz="4" w:space="0" w:color="auto"/>
              <w:right w:val="single" w:sz="4" w:space="0" w:color="auto"/>
            </w:tcBorders>
            <w:vAlign w:val="center"/>
            <w:hideMark/>
          </w:tcPr>
          <w:p w14:paraId="54CDD882"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vAlign w:val="center"/>
            <w:hideMark/>
          </w:tcPr>
          <w:p w14:paraId="77F7E005"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6891559F" w14:textId="77777777" w:rsidTr="00DB48E0">
        <w:trPr>
          <w:trHeight w:val="300"/>
        </w:trPr>
        <w:tc>
          <w:tcPr>
            <w:tcW w:w="1200" w:type="dxa"/>
            <w:vMerge w:val="restart"/>
            <w:tcBorders>
              <w:top w:val="nil"/>
              <w:left w:val="single" w:sz="4" w:space="0" w:color="auto"/>
              <w:bottom w:val="single" w:sz="4" w:space="0" w:color="auto"/>
              <w:right w:val="single" w:sz="4" w:space="0" w:color="auto"/>
            </w:tcBorders>
            <w:shd w:val="clear" w:color="000000" w:fill="83CCEB"/>
            <w:noWrap/>
            <w:vAlign w:val="bottom"/>
            <w:hideMark/>
          </w:tcPr>
          <w:p w14:paraId="4A0FC2A2"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3</w:t>
            </w:r>
          </w:p>
        </w:tc>
        <w:tc>
          <w:tcPr>
            <w:tcW w:w="1164" w:type="dxa"/>
            <w:tcBorders>
              <w:top w:val="nil"/>
              <w:left w:val="nil"/>
              <w:bottom w:val="single" w:sz="4" w:space="0" w:color="auto"/>
              <w:right w:val="single" w:sz="4" w:space="0" w:color="auto"/>
            </w:tcBorders>
            <w:shd w:val="clear" w:color="000000" w:fill="83CCEB"/>
            <w:noWrap/>
            <w:vAlign w:val="bottom"/>
            <w:hideMark/>
          </w:tcPr>
          <w:p w14:paraId="59AAA82D"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50</w:t>
            </w:r>
          </w:p>
        </w:tc>
        <w:tc>
          <w:tcPr>
            <w:tcW w:w="2920" w:type="dxa"/>
            <w:vMerge/>
            <w:tcBorders>
              <w:top w:val="nil"/>
              <w:left w:val="single" w:sz="4" w:space="0" w:color="auto"/>
              <w:bottom w:val="single" w:sz="4" w:space="0" w:color="auto"/>
              <w:right w:val="single" w:sz="4" w:space="0" w:color="auto"/>
            </w:tcBorders>
            <w:vAlign w:val="center"/>
            <w:hideMark/>
          </w:tcPr>
          <w:p w14:paraId="0302B2B3"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nil"/>
              <w:left w:val="single" w:sz="4" w:space="0" w:color="auto"/>
              <w:bottom w:val="single" w:sz="4" w:space="0" w:color="auto"/>
              <w:right w:val="single" w:sz="4" w:space="0" w:color="auto"/>
            </w:tcBorders>
            <w:vAlign w:val="center"/>
            <w:hideMark/>
          </w:tcPr>
          <w:p w14:paraId="198E232B"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vAlign w:val="center"/>
            <w:hideMark/>
          </w:tcPr>
          <w:p w14:paraId="7CE7ED8E"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2F544AC6" w14:textId="77777777" w:rsidTr="00DB48E0">
        <w:trPr>
          <w:trHeight w:val="300"/>
        </w:trPr>
        <w:tc>
          <w:tcPr>
            <w:tcW w:w="1200" w:type="dxa"/>
            <w:vMerge/>
            <w:tcBorders>
              <w:top w:val="nil"/>
              <w:left w:val="single" w:sz="4" w:space="0" w:color="auto"/>
              <w:bottom w:val="single" w:sz="4" w:space="0" w:color="auto"/>
              <w:right w:val="single" w:sz="4" w:space="0" w:color="auto"/>
            </w:tcBorders>
            <w:vAlign w:val="center"/>
            <w:hideMark/>
          </w:tcPr>
          <w:p w14:paraId="2A8EAA7A" w14:textId="77777777" w:rsidR="006E4D94" w:rsidRPr="00F41196" w:rsidRDefault="006E4D94" w:rsidP="00DB48E0">
            <w:pPr>
              <w:rPr>
                <w:rFonts w:ascii="Calibri" w:eastAsia="Times New Roman" w:hAnsi="Calibri" w:cs="Calibri"/>
                <w:color w:val="000000"/>
                <w:sz w:val="20"/>
                <w:szCs w:val="20"/>
                <w:lang w:eastAsia="de-DE"/>
              </w:rPr>
            </w:pPr>
          </w:p>
        </w:tc>
        <w:tc>
          <w:tcPr>
            <w:tcW w:w="1164" w:type="dxa"/>
            <w:tcBorders>
              <w:top w:val="nil"/>
              <w:left w:val="nil"/>
              <w:bottom w:val="single" w:sz="4" w:space="0" w:color="auto"/>
              <w:right w:val="single" w:sz="4" w:space="0" w:color="auto"/>
            </w:tcBorders>
            <w:shd w:val="clear" w:color="000000" w:fill="83CCEB"/>
            <w:noWrap/>
            <w:vAlign w:val="bottom"/>
            <w:hideMark/>
          </w:tcPr>
          <w:p w14:paraId="3E2ECB82"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25</w:t>
            </w:r>
          </w:p>
        </w:tc>
        <w:tc>
          <w:tcPr>
            <w:tcW w:w="2920" w:type="dxa"/>
            <w:vMerge/>
            <w:tcBorders>
              <w:top w:val="nil"/>
              <w:left w:val="single" w:sz="4" w:space="0" w:color="auto"/>
              <w:bottom w:val="single" w:sz="4" w:space="0" w:color="auto"/>
              <w:right w:val="single" w:sz="4" w:space="0" w:color="auto"/>
            </w:tcBorders>
            <w:vAlign w:val="center"/>
            <w:hideMark/>
          </w:tcPr>
          <w:p w14:paraId="2442151E"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nil"/>
              <w:left w:val="single" w:sz="4" w:space="0" w:color="auto"/>
              <w:bottom w:val="single" w:sz="4" w:space="0" w:color="auto"/>
              <w:right w:val="single" w:sz="4" w:space="0" w:color="auto"/>
            </w:tcBorders>
            <w:vAlign w:val="center"/>
            <w:hideMark/>
          </w:tcPr>
          <w:p w14:paraId="1630E00A"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vAlign w:val="center"/>
            <w:hideMark/>
          </w:tcPr>
          <w:p w14:paraId="6C0FA5B0"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5798ED72" w14:textId="77777777" w:rsidTr="00DB48E0">
        <w:trPr>
          <w:trHeight w:val="300"/>
        </w:trPr>
        <w:tc>
          <w:tcPr>
            <w:tcW w:w="1200" w:type="dxa"/>
            <w:tcBorders>
              <w:top w:val="nil"/>
              <w:left w:val="single" w:sz="4" w:space="0" w:color="auto"/>
              <w:bottom w:val="single" w:sz="4" w:space="0" w:color="auto"/>
              <w:right w:val="single" w:sz="4" w:space="0" w:color="auto"/>
            </w:tcBorders>
            <w:noWrap/>
            <w:vAlign w:val="bottom"/>
            <w:hideMark/>
          </w:tcPr>
          <w:p w14:paraId="4FC54EE4"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4</w:t>
            </w:r>
          </w:p>
        </w:tc>
        <w:tc>
          <w:tcPr>
            <w:tcW w:w="1164" w:type="dxa"/>
            <w:tcBorders>
              <w:top w:val="nil"/>
              <w:left w:val="nil"/>
              <w:bottom w:val="single" w:sz="4" w:space="0" w:color="auto"/>
              <w:right w:val="single" w:sz="4" w:space="0" w:color="auto"/>
            </w:tcBorders>
            <w:noWrap/>
            <w:vAlign w:val="bottom"/>
            <w:hideMark/>
          </w:tcPr>
          <w:p w14:paraId="5F706D2C"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50</w:t>
            </w:r>
          </w:p>
        </w:tc>
        <w:tc>
          <w:tcPr>
            <w:tcW w:w="2920" w:type="dxa"/>
            <w:vMerge w:val="restart"/>
            <w:tcBorders>
              <w:top w:val="nil"/>
              <w:left w:val="single" w:sz="4" w:space="0" w:color="auto"/>
              <w:bottom w:val="single" w:sz="4" w:space="0" w:color="auto"/>
              <w:right w:val="single" w:sz="4" w:space="0" w:color="auto"/>
            </w:tcBorders>
            <w:noWrap/>
            <w:vAlign w:val="center"/>
            <w:hideMark/>
          </w:tcPr>
          <w:p w14:paraId="771923D9"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Solaranlage 38,4 kWp</w:t>
            </w:r>
          </w:p>
        </w:tc>
        <w:tc>
          <w:tcPr>
            <w:tcW w:w="2920" w:type="dxa"/>
            <w:vMerge w:val="restart"/>
            <w:tcBorders>
              <w:top w:val="nil"/>
              <w:left w:val="single" w:sz="4" w:space="0" w:color="auto"/>
              <w:bottom w:val="single" w:sz="4" w:space="0" w:color="auto"/>
              <w:right w:val="single" w:sz="4" w:space="0" w:color="auto"/>
            </w:tcBorders>
            <w:vAlign w:val="center"/>
            <w:hideMark/>
          </w:tcPr>
          <w:p w14:paraId="1A812722"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Auftrag unter Vorbehalt</w:t>
            </w:r>
            <w:r w:rsidRPr="00F41196">
              <w:rPr>
                <w:rFonts w:ascii="Calibri" w:eastAsia="Times New Roman" w:hAnsi="Calibri" w:cs="Calibri"/>
                <w:color w:val="000000"/>
                <w:sz w:val="20"/>
                <w:szCs w:val="20"/>
                <w:lang w:eastAsia="de-DE"/>
              </w:rPr>
              <w:br/>
            </w:r>
            <w:r w:rsidRPr="00F41196">
              <w:rPr>
                <w:rFonts w:ascii="Calibri" w:eastAsia="Times New Roman" w:hAnsi="Calibri" w:cs="Calibri"/>
                <w:color w:val="000000"/>
                <w:sz w:val="20"/>
                <w:szCs w:val="20"/>
                <w:lang w:eastAsia="de-DE"/>
              </w:rPr>
              <w:br/>
            </w:r>
            <w:r w:rsidRPr="00F41196">
              <w:rPr>
                <w:rFonts w:ascii="Calibri" w:eastAsia="Times New Roman" w:hAnsi="Calibri" w:cs="Calibri"/>
                <w:color w:val="000000"/>
                <w:sz w:val="20"/>
                <w:szCs w:val="20"/>
                <w:lang w:eastAsia="de-DE"/>
              </w:rPr>
              <w:lastRenderedPageBreak/>
              <w:t>(siehe Besondere Vertragsbedingungen)</w:t>
            </w:r>
          </w:p>
        </w:tc>
        <w:tc>
          <w:tcPr>
            <w:tcW w:w="146" w:type="dxa"/>
            <w:vAlign w:val="center"/>
            <w:hideMark/>
          </w:tcPr>
          <w:p w14:paraId="67C6FB05"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0CE16C4F" w14:textId="77777777" w:rsidTr="00DB48E0">
        <w:trPr>
          <w:trHeight w:val="300"/>
        </w:trPr>
        <w:tc>
          <w:tcPr>
            <w:tcW w:w="1200" w:type="dxa"/>
            <w:tcBorders>
              <w:top w:val="nil"/>
              <w:left w:val="single" w:sz="4" w:space="0" w:color="auto"/>
              <w:bottom w:val="single" w:sz="4" w:space="0" w:color="auto"/>
              <w:right w:val="single" w:sz="4" w:space="0" w:color="auto"/>
            </w:tcBorders>
            <w:noWrap/>
            <w:vAlign w:val="bottom"/>
            <w:hideMark/>
          </w:tcPr>
          <w:p w14:paraId="20DA0735"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5</w:t>
            </w:r>
          </w:p>
        </w:tc>
        <w:tc>
          <w:tcPr>
            <w:tcW w:w="1164" w:type="dxa"/>
            <w:tcBorders>
              <w:top w:val="nil"/>
              <w:left w:val="nil"/>
              <w:bottom w:val="single" w:sz="4" w:space="0" w:color="auto"/>
              <w:right w:val="single" w:sz="4" w:space="0" w:color="auto"/>
            </w:tcBorders>
            <w:noWrap/>
            <w:vAlign w:val="bottom"/>
            <w:hideMark/>
          </w:tcPr>
          <w:p w14:paraId="67533918"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50</w:t>
            </w:r>
          </w:p>
        </w:tc>
        <w:tc>
          <w:tcPr>
            <w:tcW w:w="2920" w:type="dxa"/>
            <w:vMerge/>
            <w:tcBorders>
              <w:top w:val="nil"/>
              <w:left w:val="single" w:sz="4" w:space="0" w:color="auto"/>
              <w:bottom w:val="single" w:sz="4" w:space="0" w:color="auto"/>
              <w:right w:val="single" w:sz="4" w:space="0" w:color="auto"/>
            </w:tcBorders>
            <w:vAlign w:val="center"/>
            <w:hideMark/>
          </w:tcPr>
          <w:p w14:paraId="7EC23A70"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nil"/>
              <w:left w:val="single" w:sz="4" w:space="0" w:color="auto"/>
              <w:bottom w:val="single" w:sz="4" w:space="0" w:color="auto"/>
              <w:right w:val="single" w:sz="4" w:space="0" w:color="auto"/>
            </w:tcBorders>
            <w:vAlign w:val="center"/>
            <w:hideMark/>
          </w:tcPr>
          <w:p w14:paraId="7C48CA07"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vAlign w:val="center"/>
            <w:hideMark/>
          </w:tcPr>
          <w:p w14:paraId="0F7B6BC0"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6D5EEF4D" w14:textId="77777777" w:rsidTr="00DB48E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F04D815"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6</w:t>
            </w:r>
          </w:p>
        </w:tc>
        <w:tc>
          <w:tcPr>
            <w:tcW w:w="1164" w:type="dxa"/>
            <w:tcBorders>
              <w:top w:val="nil"/>
              <w:left w:val="nil"/>
              <w:bottom w:val="single" w:sz="4" w:space="0" w:color="auto"/>
              <w:right w:val="single" w:sz="4" w:space="0" w:color="auto"/>
            </w:tcBorders>
            <w:noWrap/>
            <w:vAlign w:val="bottom"/>
            <w:hideMark/>
          </w:tcPr>
          <w:p w14:paraId="37E27F1D"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50</w:t>
            </w:r>
          </w:p>
        </w:tc>
        <w:tc>
          <w:tcPr>
            <w:tcW w:w="2920" w:type="dxa"/>
            <w:vMerge/>
            <w:tcBorders>
              <w:top w:val="nil"/>
              <w:left w:val="single" w:sz="4" w:space="0" w:color="auto"/>
              <w:bottom w:val="single" w:sz="4" w:space="0" w:color="auto"/>
              <w:right w:val="single" w:sz="4" w:space="0" w:color="auto"/>
            </w:tcBorders>
            <w:vAlign w:val="center"/>
            <w:hideMark/>
          </w:tcPr>
          <w:p w14:paraId="07333B14"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nil"/>
              <w:left w:val="single" w:sz="4" w:space="0" w:color="auto"/>
              <w:bottom w:val="single" w:sz="4" w:space="0" w:color="auto"/>
              <w:right w:val="single" w:sz="4" w:space="0" w:color="auto"/>
            </w:tcBorders>
            <w:vAlign w:val="center"/>
            <w:hideMark/>
          </w:tcPr>
          <w:p w14:paraId="536E22F0"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vAlign w:val="center"/>
            <w:hideMark/>
          </w:tcPr>
          <w:p w14:paraId="433F45A0"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18EEF9F6" w14:textId="77777777" w:rsidTr="00DB48E0">
        <w:trPr>
          <w:trHeight w:val="300"/>
        </w:trPr>
        <w:tc>
          <w:tcPr>
            <w:tcW w:w="1200" w:type="dxa"/>
            <w:tcBorders>
              <w:top w:val="nil"/>
              <w:left w:val="single" w:sz="4" w:space="0" w:color="auto"/>
              <w:bottom w:val="single" w:sz="4" w:space="0" w:color="auto"/>
              <w:right w:val="single" w:sz="4" w:space="0" w:color="auto"/>
            </w:tcBorders>
            <w:noWrap/>
            <w:vAlign w:val="bottom"/>
            <w:hideMark/>
          </w:tcPr>
          <w:p w14:paraId="6E0F578E"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lastRenderedPageBreak/>
              <w:t>7</w:t>
            </w:r>
          </w:p>
        </w:tc>
        <w:tc>
          <w:tcPr>
            <w:tcW w:w="1164" w:type="dxa"/>
            <w:tcBorders>
              <w:top w:val="nil"/>
              <w:left w:val="nil"/>
              <w:bottom w:val="single" w:sz="4" w:space="0" w:color="auto"/>
              <w:right w:val="single" w:sz="4" w:space="0" w:color="auto"/>
            </w:tcBorders>
            <w:noWrap/>
            <w:vAlign w:val="bottom"/>
            <w:hideMark/>
          </w:tcPr>
          <w:p w14:paraId="5D9EC2B8"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50</w:t>
            </w:r>
          </w:p>
        </w:tc>
        <w:tc>
          <w:tcPr>
            <w:tcW w:w="2920" w:type="dxa"/>
            <w:vMerge/>
            <w:tcBorders>
              <w:top w:val="nil"/>
              <w:left w:val="single" w:sz="4" w:space="0" w:color="auto"/>
              <w:bottom w:val="single" w:sz="4" w:space="0" w:color="auto"/>
              <w:right w:val="single" w:sz="4" w:space="0" w:color="auto"/>
            </w:tcBorders>
            <w:vAlign w:val="center"/>
            <w:hideMark/>
          </w:tcPr>
          <w:p w14:paraId="2EA0E87C"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nil"/>
              <w:left w:val="single" w:sz="4" w:space="0" w:color="auto"/>
              <w:bottom w:val="single" w:sz="4" w:space="0" w:color="auto"/>
              <w:right w:val="single" w:sz="4" w:space="0" w:color="auto"/>
            </w:tcBorders>
            <w:vAlign w:val="center"/>
            <w:hideMark/>
          </w:tcPr>
          <w:p w14:paraId="6E039624"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vAlign w:val="center"/>
            <w:hideMark/>
          </w:tcPr>
          <w:p w14:paraId="1AA3CCA8" w14:textId="77777777" w:rsidR="006E4D94" w:rsidRPr="00F41196" w:rsidRDefault="006E4D94" w:rsidP="00DB48E0">
            <w:pPr>
              <w:rPr>
                <w:rFonts w:ascii="Times New Roman" w:eastAsia="Times New Roman" w:hAnsi="Times New Roman" w:cs="Times New Roman"/>
                <w:sz w:val="20"/>
                <w:szCs w:val="20"/>
                <w:lang w:eastAsia="de-DE"/>
              </w:rPr>
            </w:pPr>
          </w:p>
        </w:tc>
      </w:tr>
      <w:tr w:rsidR="006E4D94" w:rsidRPr="00F41196" w14:paraId="371BCBB1" w14:textId="77777777" w:rsidTr="00DB48E0">
        <w:trPr>
          <w:trHeight w:val="300"/>
        </w:trPr>
        <w:tc>
          <w:tcPr>
            <w:tcW w:w="1200" w:type="dxa"/>
            <w:tcBorders>
              <w:top w:val="nil"/>
              <w:left w:val="single" w:sz="4" w:space="0" w:color="auto"/>
              <w:bottom w:val="single" w:sz="4" w:space="0" w:color="auto"/>
              <w:right w:val="single" w:sz="4" w:space="0" w:color="auto"/>
            </w:tcBorders>
            <w:noWrap/>
            <w:vAlign w:val="bottom"/>
            <w:hideMark/>
          </w:tcPr>
          <w:p w14:paraId="22F81D4C"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8</w:t>
            </w:r>
          </w:p>
        </w:tc>
        <w:tc>
          <w:tcPr>
            <w:tcW w:w="1164" w:type="dxa"/>
            <w:tcBorders>
              <w:top w:val="nil"/>
              <w:left w:val="nil"/>
              <w:bottom w:val="single" w:sz="4" w:space="0" w:color="auto"/>
              <w:right w:val="single" w:sz="4" w:space="0" w:color="auto"/>
            </w:tcBorders>
            <w:noWrap/>
            <w:vAlign w:val="bottom"/>
            <w:hideMark/>
          </w:tcPr>
          <w:p w14:paraId="2388B8AA" w14:textId="77777777" w:rsidR="006E4D94" w:rsidRPr="00F41196" w:rsidRDefault="006E4D94" w:rsidP="00DB48E0">
            <w:pPr>
              <w:jc w:val="center"/>
              <w:rPr>
                <w:rFonts w:ascii="Calibri" w:eastAsia="Times New Roman" w:hAnsi="Calibri" w:cs="Calibri"/>
                <w:color w:val="000000"/>
                <w:sz w:val="20"/>
                <w:szCs w:val="20"/>
                <w:lang w:eastAsia="de-DE"/>
              </w:rPr>
            </w:pPr>
            <w:r w:rsidRPr="00F41196">
              <w:rPr>
                <w:rFonts w:ascii="Calibri" w:eastAsia="Times New Roman" w:hAnsi="Calibri" w:cs="Calibri"/>
                <w:color w:val="000000"/>
                <w:sz w:val="20"/>
                <w:szCs w:val="20"/>
                <w:lang w:eastAsia="de-DE"/>
              </w:rPr>
              <w:t>50</w:t>
            </w:r>
          </w:p>
        </w:tc>
        <w:tc>
          <w:tcPr>
            <w:tcW w:w="2920" w:type="dxa"/>
            <w:vMerge/>
            <w:tcBorders>
              <w:top w:val="nil"/>
              <w:left w:val="single" w:sz="4" w:space="0" w:color="auto"/>
              <w:bottom w:val="single" w:sz="4" w:space="0" w:color="auto"/>
              <w:right w:val="single" w:sz="4" w:space="0" w:color="auto"/>
            </w:tcBorders>
            <w:vAlign w:val="center"/>
            <w:hideMark/>
          </w:tcPr>
          <w:p w14:paraId="4F21133F" w14:textId="77777777" w:rsidR="006E4D94" w:rsidRPr="00F41196" w:rsidRDefault="006E4D94" w:rsidP="00DB48E0">
            <w:pPr>
              <w:rPr>
                <w:rFonts w:ascii="Calibri" w:eastAsia="Times New Roman" w:hAnsi="Calibri" w:cs="Calibri"/>
                <w:color w:val="000000"/>
                <w:sz w:val="20"/>
                <w:szCs w:val="20"/>
                <w:lang w:eastAsia="de-DE"/>
              </w:rPr>
            </w:pPr>
          </w:p>
        </w:tc>
        <w:tc>
          <w:tcPr>
            <w:tcW w:w="2920" w:type="dxa"/>
            <w:vMerge/>
            <w:tcBorders>
              <w:top w:val="nil"/>
              <w:left w:val="single" w:sz="4" w:space="0" w:color="auto"/>
              <w:bottom w:val="single" w:sz="4" w:space="0" w:color="auto"/>
              <w:right w:val="single" w:sz="4" w:space="0" w:color="auto"/>
            </w:tcBorders>
            <w:vAlign w:val="center"/>
            <w:hideMark/>
          </w:tcPr>
          <w:p w14:paraId="42EC2849" w14:textId="77777777" w:rsidR="006E4D94" w:rsidRPr="00F41196" w:rsidRDefault="006E4D94" w:rsidP="00DB48E0">
            <w:pPr>
              <w:rPr>
                <w:rFonts w:ascii="Calibri" w:eastAsia="Times New Roman" w:hAnsi="Calibri" w:cs="Calibri"/>
                <w:color w:val="000000"/>
                <w:sz w:val="20"/>
                <w:szCs w:val="20"/>
                <w:lang w:eastAsia="de-DE"/>
              </w:rPr>
            </w:pPr>
          </w:p>
        </w:tc>
        <w:tc>
          <w:tcPr>
            <w:tcW w:w="146" w:type="dxa"/>
            <w:vAlign w:val="center"/>
            <w:hideMark/>
          </w:tcPr>
          <w:p w14:paraId="78D24E89" w14:textId="77777777" w:rsidR="006E4D94" w:rsidRPr="00F41196" w:rsidRDefault="006E4D94" w:rsidP="00DB48E0">
            <w:pPr>
              <w:rPr>
                <w:rFonts w:ascii="Times New Roman" w:eastAsia="Times New Roman" w:hAnsi="Times New Roman" w:cs="Times New Roman"/>
                <w:sz w:val="20"/>
                <w:szCs w:val="20"/>
                <w:lang w:eastAsia="de-DE"/>
              </w:rPr>
            </w:pPr>
          </w:p>
        </w:tc>
      </w:tr>
    </w:tbl>
    <w:p w14:paraId="40620AC2" w14:textId="77777777" w:rsidR="006E4D94" w:rsidRDefault="006E4D94" w:rsidP="006E4D94">
      <w:pPr>
        <w:jc w:val="both"/>
        <w:rPr>
          <w:rFonts w:cs="Arial"/>
        </w:rPr>
      </w:pPr>
    </w:p>
    <w:p w14:paraId="0C439CEE" w14:textId="77777777" w:rsidR="006E4D94" w:rsidRDefault="006E4D94" w:rsidP="006E4D94">
      <w:pPr>
        <w:jc w:val="both"/>
        <w:rPr>
          <w:rFonts w:cs="Arial"/>
        </w:rPr>
      </w:pPr>
    </w:p>
    <w:p w14:paraId="18E811E2" w14:textId="77777777" w:rsidR="006E4D94" w:rsidRPr="008A529B" w:rsidRDefault="006E4D94" w:rsidP="006E4D94">
      <w:pPr>
        <w:jc w:val="both"/>
        <w:rPr>
          <w:rFonts w:cs="Arial"/>
          <w:b/>
          <w:bCs/>
        </w:rPr>
      </w:pPr>
      <w:r w:rsidRPr="008A529B">
        <w:rPr>
          <w:rFonts w:cs="Arial"/>
          <w:b/>
          <w:bCs/>
        </w:rPr>
        <w:t>Hinweise zur Auswertung der Angebote bzw. zur Vergabe der Lose</w:t>
      </w:r>
    </w:p>
    <w:p w14:paraId="1A02C027" w14:textId="77777777" w:rsidR="006E4D94" w:rsidRDefault="006E4D94" w:rsidP="006E4D94">
      <w:pPr>
        <w:jc w:val="both"/>
        <w:rPr>
          <w:rFonts w:cs="Arial"/>
        </w:rPr>
      </w:pPr>
    </w:p>
    <w:p w14:paraId="769262B8" w14:textId="77777777" w:rsidR="006E4D94" w:rsidRDefault="006E4D94" w:rsidP="006E4D94">
      <w:pPr>
        <w:rPr>
          <w:rFonts w:cs="Arial"/>
        </w:rPr>
      </w:pPr>
      <w:r>
        <w:rPr>
          <w:rFonts w:cs="Arial"/>
        </w:rPr>
        <w:t xml:space="preserve">Die Lose 1 bis 3 werden an den günstigsten Bieter, von allen in der Auswahl befindlichen Angebote, vergeben. </w:t>
      </w:r>
    </w:p>
    <w:p w14:paraId="68E222C7" w14:textId="77777777" w:rsidR="006E4D94" w:rsidRDefault="006E4D94" w:rsidP="006E4D94">
      <w:pPr>
        <w:rPr>
          <w:rFonts w:cs="Arial"/>
        </w:rPr>
      </w:pPr>
    </w:p>
    <w:p w14:paraId="465D28E6" w14:textId="77777777" w:rsidR="006E4D94" w:rsidRDefault="006E4D94" w:rsidP="006E4D94">
      <w:pPr>
        <w:rPr>
          <w:rFonts w:cs="Arial"/>
        </w:rPr>
      </w:pPr>
      <w:r>
        <w:rPr>
          <w:rFonts w:cs="Arial"/>
        </w:rPr>
        <w:t xml:space="preserve">Die Lose 4 bis 8 werden einzeln, an den jeweils günstigsten Bieter vergeben, wobei auch hier die technische und kaufmännische Eignung der Angebote Voraussetzung dafür ist. </w:t>
      </w:r>
    </w:p>
    <w:p w14:paraId="7EF6DC03" w14:textId="77777777" w:rsidR="006E4D94" w:rsidRDefault="006E4D94" w:rsidP="006E4D94">
      <w:pPr>
        <w:rPr>
          <w:rFonts w:cs="Arial"/>
        </w:rPr>
      </w:pPr>
    </w:p>
    <w:p w14:paraId="5F6364D6" w14:textId="77777777" w:rsidR="006E4D94" w:rsidRDefault="006E4D94" w:rsidP="006E4D94">
      <w:pPr>
        <w:rPr>
          <w:rFonts w:cs="Arial"/>
        </w:rPr>
      </w:pPr>
      <w:r>
        <w:rPr>
          <w:rFonts w:cs="Arial"/>
        </w:rPr>
        <w:t xml:space="preserve">Für die Vergabe der Lose 4 bis 8 findet eine losübergreifende Betrachtung </w:t>
      </w:r>
      <w:r w:rsidRPr="00F41196">
        <w:rPr>
          <w:rFonts w:cs="Arial"/>
        </w:rPr>
        <w:t>aller in der Auswahl befindlichen Angebote</w:t>
      </w:r>
      <w:r>
        <w:rPr>
          <w:rFonts w:cs="Arial"/>
        </w:rPr>
        <w:t xml:space="preserve"> statt, wobei auch die nicht zum Zuge gekommenen Angebote der Lose 1 bis 3 Berücksichtigung finden.</w:t>
      </w:r>
    </w:p>
    <w:p w14:paraId="49C46113" w14:textId="60EF3F23" w:rsidR="001112C3" w:rsidRDefault="001112C3" w:rsidP="001112C3">
      <w:pPr>
        <w:spacing w:after="200" w:line="276" w:lineRule="auto"/>
        <w:rPr>
          <w:rStyle w:val="Seitenzahl"/>
          <w:rFonts w:cs="Arial"/>
          <w:b/>
          <w:bCs/>
        </w:rPr>
      </w:pPr>
    </w:p>
    <w:p w14:paraId="5AD5BB5A" w14:textId="3198B0D3"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308479D4" w14:textId="77777777" w:rsidR="00F45BF6" w:rsidRPr="007C1782" w:rsidRDefault="00F45BF6" w:rsidP="00F45BF6">
      <w:pPr>
        <w:autoSpaceDE w:val="0"/>
        <w:autoSpaceDN w:val="0"/>
        <w:adjustRightInd w:val="0"/>
        <w:jc w:val="both"/>
        <w:rPr>
          <w:rFonts w:cs="Arial"/>
        </w:rPr>
      </w:pPr>
    </w:p>
    <w:p w14:paraId="56AE84A9" w14:textId="77777777" w:rsidR="00A4354E" w:rsidRDefault="00A4354E" w:rsidP="00A4354E">
      <w:pPr>
        <w:jc w:val="both"/>
        <w:rPr>
          <w:rFonts w:cs="Arial"/>
          <w:color w:val="000000"/>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r w:rsidRPr="00F075DD">
        <w:rPr>
          <w:b/>
          <w:bCs/>
        </w:rPr>
        <w:t>XRechnung</w:t>
      </w:r>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384D39B1" w14:textId="77777777" w:rsidR="001E6C9F" w:rsidRDefault="001E6C9F" w:rsidP="001E6C9F">
      <w:pPr>
        <w:jc w:val="both"/>
      </w:pPr>
      <w:r w:rsidRPr="001E6C9F">
        <w:t>XRechnungen können nur noch per E-Mail übermittelt werden.</w:t>
      </w:r>
    </w:p>
    <w:p w14:paraId="05AB17B1" w14:textId="2B117BF8" w:rsidR="001E6C9F" w:rsidRPr="001E6C9F" w:rsidRDefault="001E6C9F" w:rsidP="001E6C9F">
      <w:pPr>
        <w:jc w:val="both"/>
      </w:pPr>
      <w:r w:rsidRPr="001E6C9F">
        <w:t>Bitte beachten Sie bei der Übermittlung der XRechnung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XRechnungen sind unter Angabe der Leitweg-ID der GIZ „993-80072-52“ zu stellen.</w:t>
      </w: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lastRenderedPageBreak/>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6CF1D401" w14:textId="77777777" w:rsidR="007555D2" w:rsidRDefault="007555D2">
      <w:pPr>
        <w:spacing w:after="200" w:line="276" w:lineRule="auto"/>
        <w:rPr>
          <w:rFonts w:cs="Arial"/>
          <w:b/>
        </w:rPr>
      </w:pPr>
      <w:r>
        <w:rPr>
          <w:rFonts w:cs="Arial"/>
          <w:b/>
        </w:rPr>
        <w:br w:type="page"/>
      </w:r>
    </w:p>
    <w:p w14:paraId="39F76D88" w14:textId="1EF9B718" w:rsidR="00A643F3" w:rsidRPr="008F1FB0" w:rsidRDefault="00A643F3" w:rsidP="00E31450">
      <w:pPr>
        <w:jc w:val="both"/>
        <w:rPr>
          <w:rFonts w:cs="Arial"/>
        </w:rPr>
      </w:pPr>
      <w:r w:rsidRPr="008F1FB0">
        <w:rPr>
          <w:rFonts w:cs="Arial"/>
          <w:b/>
        </w:rPr>
        <w:lastRenderedPageBreak/>
        <w:t>Lieferklausel:</w:t>
      </w:r>
      <w:r w:rsidRPr="008F1FB0">
        <w:rPr>
          <w:rFonts w:cs="Arial"/>
        </w:rPr>
        <w:t xml:space="preserve"> </w:t>
      </w:r>
    </w:p>
    <w:p w14:paraId="6431D48B" w14:textId="061C026C" w:rsidR="001346DA" w:rsidRPr="008F1FB0" w:rsidRDefault="00E7009E" w:rsidP="00E31450">
      <w:pPr>
        <w:jc w:val="both"/>
        <w:rPr>
          <w:rFonts w:cs="Arial"/>
        </w:rPr>
      </w:pPr>
      <w:r w:rsidRPr="00E7009E">
        <w:rPr>
          <w:rFonts w:cs="Arial"/>
        </w:rPr>
        <w:t>DDP Deutschland (200 km Radius um Eschborn)</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061FF683" w:rsidR="00A643F3" w:rsidRPr="008F1FB0" w:rsidRDefault="00E7009E" w:rsidP="00E31450">
      <w:pPr>
        <w:jc w:val="both"/>
        <w:rPr>
          <w:rFonts w:cs="Arial"/>
        </w:rPr>
      </w:pPr>
      <w:r>
        <w:rPr>
          <w:rFonts w:cs="Arial"/>
        </w:rPr>
        <w:t>Ukraine</w:t>
      </w:r>
    </w:p>
    <w:p w14:paraId="5544BB44" w14:textId="46933032" w:rsidR="00465F3D" w:rsidRPr="008F1FB0" w:rsidRDefault="00465F3D" w:rsidP="00E31450">
      <w:pPr>
        <w:jc w:val="both"/>
        <w:rPr>
          <w:rFonts w:cs="Arial"/>
        </w:rPr>
      </w:pPr>
    </w:p>
    <w:p w14:paraId="17ACC66F" w14:textId="77777777" w:rsidR="001B7188" w:rsidRPr="008F1FB0" w:rsidRDefault="001B7188" w:rsidP="00E31450">
      <w:pPr>
        <w:jc w:val="both"/>
        <w:rPr>
          <w:rFonts w:cs="Arial"/>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316F82BA" w14:textId="06E00435" w:rsidR="00A643F3" w:rsidRDefault="001346DA" w:rsidP="00E31450">
      <w:pPr>
        <w:jc w:val="both"/>
        <w:rPr>
          <w:rFonts w:cs="Arial"/>
        </w:rPr>
      </w:pPr>
      <w:r w:rsidRPr="008F1FB0">
        <w:rPr>
          <w:rFonts w:cs="Arial"/>
        </w:rPr>
        <w:t>Bitte nennen Sie Ihren schnellstmöglichen Liefertermin.</w:t>
      </w:r>
    </w:p>
    <w:p w14:paraId="002401AF" w14:textId="156702BF" w:rsidR="1C35F3B9" w:rsidRPr="008F1FB0" w:rsidRDefault="00E7009E" w:rsidP="4CE3B6E6">
      <w:pPr>
        <w:jc w:val="both"/>
        <w:rPr>
          <w:rFonts w:cs="Arial"/>
        </w:rPr>
      </w:pPr>
      <w:r w:rsidRPr="00E7009E">
        <w:rPr>
          <w:rFonts w:cs="Arial"/>
        </w:rPr>
        <w:t>Lieferung spätestens 9 Monate nach Auftragsvergabe. Angebote, die keine entsprechend verbindliche Lieferzeit enthalten können nicht berücksichtigt werden.</w:t>
      </w:r>
    </w:p>
    <w:p w14:paraId="68046C5C" w14:textId="0E6978D8" w:rsidR="4CE3B6E6" w:rsidRPr="008F1FB0" w:rsidRDefault="4CE3B6E6" w:rsidP="4CE3B6E6">
      <w:pPr>
        <w:jc w:val="both"/>
        <w:rPr>
          <w:rFonts w:cs="Arial"/>
        </w:rPr>
      </w:pPr>
    </w:p>
    <w:p w14:paraId="213DE0F7" w14:textId="77777777" w:rsidR="00465F3D" w:rsidRPr="008F1FB0" w:rsidRDefault="00465F3D"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1FF0251" w14:textId="4A2FEF79" w:rsidR="001346DA" w:rsidRPr="008F1FB0" w:rsidRDefault="001346DA" w:rsidP="00E31450">
      <w:pPr>
        <w:jc w:val="both"/>
        <w:rPr>
          <w:rFonts w:cs="Arial"/>
          <w:bCs/>
        </w:rPr>
      </w:pPr>
      <w:r w:rsidRPr="008F1FB0">
        <w:rPr>
          <w:rFonts w:cs="Arial"/>
        </w:rPr>
        <w:t>L</w:t>
      </w:r>
      <w:r w:rsidR="00E7009E">
        <w:rPr>
          <w:rFonts w:cs="Arial"/>
        </w:rPr>
        <w:t>KW-</w:t>
      </w:r>
      <w:r w:rsidRPr="008F1FB0">
        <w:rPr>
          <w:rFonts w:cs="Arial"/>
        </w:rPr>
        <w:t>frachtgerecht verpackt gem</w:t>
      </w:r>
      <w:r w:rsidR="004E1B52" w:rsidRPr="008F1FB0">
        <w:rPr>
          <w:rFonts w:cs="Arial"/>
        </w:rPr>
        <w:t>äß</w:t>
      </w:r>
      <w:r w:rsidRPr="008F1FB0">
        <w:rPr>
          <w:rFonts w:cs="Arial"/>
        </w:rPr>
        <w:t xml:space="preserve"> </w:t>
      </w:r>
      <w:r w:rsidR="00B2349D" w:rsidRPr="008F1FB0">
        <w:rPr>
          <w:rFonts w:cs="Arial"/>
        </w:rPr>
        <w:t xml:space="preserve">den </w:t>
      </w:r>
      <w:r w:rsidR="00943EB7" w:rsidRPr="008F1FB0">
        <w:rPr>
          <w:rFonts w:cs="Arial"/>
        </w:rPr>
        <w:t xml:space="preserve">aktuell gültigen </w:t>
      </w:r>
      <w:r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F08A98D" w14:textId="77777777" w:rsidR="00465F3D" w:rsidRPr="008F1FB0" w:rsidRDefault="00465F3D" w:rsidP="00E31450">
      <w:pPr>
        <w:jc w:val="both"/>
        <w:rPr>
          <w:rFonts w:cs="Arial"/>
          <w:bCs/>
        </w:rPr>
      </w:pPr>
    </w:p>
    <w:p w14:paraId="6BC42F81" w14:textId="77777777" w:rsidR="005F49D9" w:rsidRPr="008F1FB0" w:rsidRDefault="005F49D9" w:rsidP="00E31450">
      <w:pPr>
        <w:jc w:val="both"/>
        <w:rPr>
          <w:rStyle w:val="Seitenzahl"/>
          <w:rFonts w:cs="Arial"/>
        </w:rPr>
      </w:pPr>
    </w:p>
    <w:p w14:paraId="605F473F" w14:textId="089AB9CD" w:rsidR="004F2F40" w:rsidRPr="008F1FB0" w:rsidRDefault="008E76A0" w:rsidP="00E31450">
      <w:pPr>
        <w:jc w:val="both"/>
        <w:rPr>
          <w:rStyle w:val="Seitenzahl"/>
          <w:rFonts w:cs="Arial"/>
          <w:b/>
        </w:rPr>
      </w:pPr>
      <w:r w:rsidRPr="008F1FB0">
        <w:rPr>
          <w:rStyle w:val="Seitenzahl"/>
          <w:rFonts w:cs="Arial"/>
          <w:b/>
        </w:rPr>
        <w:t>Güteprüfung:</w:t>
      </w: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rügelose Entgegennahme von Prüfprotokollen wird die Abnahme nicht ersetzt; Gewährleistungsrechte bleiben unberührt.</w:t>
      </w:r>
    </w:p>
    <w:p w14:paraId="3D44840E" w14:textId="77777777" w:rsidR="007E0DB1" w:rsidRPr="008F1FB0" w:rsidRDefault="007E0DB1" w:rsidP="00E31450">
      <w:pPr>
        <w:jc w:val="both"/>
        <w:rPr>
          <w:rFonts w:cs="Arial"/>
        </w:rPr>
      </w:pPr>
    </w:p>
    <w:p w14:paraId="088ADD56" w14:textId="77777777" w:rsidR="007E0DB1" w:rsidRPr="008F1FB0" w:rsidRDefault="007E0DB1" w:rsidP="00E31450">
      <w:pPr>
        <w:jc w:val="both"/>
        <w:rPr>
          <w:rFonts w:cs="Arial"/>
        </w:rPr>
      </w:pPr>
    </w:p>
    <w:p w14:paraId="3C838B81" w14:textId="130F06D8" w:rsidR="00A67608" w:rsidRPr="008F1FB0"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lastRenderedPageBreak/>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BEB8411" w14:textId="77777777" w:rsidR="00A67608" w:rsidRPr="008F1FB0" w:rsidRDefault="00A67608" w:rsidP="00E31450">
      <w:pPr>
        <w:jc w:val="both"/>
        <w:rPr>
          <w:rStyle w:val="Seitenzahl"/>
          <w:rFonts w:cs="Arial"/>
        </w:rPr>
      </w:pPr>
    </w:p>
    <w:p w14:paraId="75365B83" w14:textId="3F3CE6F1" w:rsidR="00A67608" w:rsidRPr="008F1FB0" w:rsidRDefault="00A67608" w:rsidP="00E31450">
      <w:pPr>
        <w:jc w:val="both"/>
        <w:rPr>
          <w:rFonts w:cs="Arial"/>
          <w:b/>
        </w:rPr>
      </w:pPr>
      <w:r w:rsidRPr="008F1FB0">
        <w:rPr>
          <w:rFonts w:cs="Arial"/>
          <w:b/>
        </w:rPr>
        <w:t>Gefahrgut</w:t>
      </w:r>
      <w:r w:rsidR="00272A67">
        <w:rPr>
          <w:rFonts w:cs="Arial"/>
          <w:b/>
        </w:rPr>
        <w:t>:</w:t>
      </w: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0C79DE92" w14:textId="3717CCB8" w:rsidR="00D5152F"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sectPr w:rsidR="00D5152F"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9DB7A" w14:textId="77777777" w:rsidR="00801416" w:rsidRDefault="00801416" w:rsidP="00A637D0">
      <w:r>
        <w:separator/>
      </w:r>
    </w:p>
  </w:endnote>
  <w:endnote w:type="continuationSeparator" w:id="0">
    <w:p w14:paraId="4EAF0026" w14:textId="77777777" w:rsidR="00801416" w:rsidRDefault="00801416" w:rsidP="00A637D0">
      <w:r>
        <w:continuationSeparator/>
      </w:r>
    </w:p>
  </w:endnote>
  <w:endnote w:type="continuationNotice" w:id="1">
    <w:p w14:paraId="2A5B7C97" w14:textId="77777777" w:rsidR="00801416" w:rsidRDefault="008014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5A363" w14:textId="77777777" w:rsidR="00801416" w:rsidRDefault="00801416" w:rsidP="00A637D0">
      <w:r>
        <w:separator/>
      </w:r>
    </w:p>
  </w:footnote>
  <w:footnote w:type="continuationSeparator" w:id="0">
    <w:p w14:paraId="2C5DAD62" w14:textId="77777777" w:rsidR="00801416" w:rsidRDefault="00801416" w:rsidP="00A637D0">
      <w:r>
        <w:continuationSeparator/>
      </w:r>
    </w:p>
  </w:footnote>
  <w:footnote w:type="continuationNotice" w:id="1">
    <w:p w14:paraId="17F1A64F" w14:textId="77777777" w:rsidR="00801416" w:rsidRDefault="00801416"/>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1AE859A4"/>
    <w:multiLevelType w:val="hybridMultilevel"/>
    <w:tmpl w:val="B7B8A3E6"/>
    <w:lvl w:ilvl="0" w:tplc="917484C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C2F7DDD"/>
    <w:multiLevelType w:val="hybridMultilevel"/>
    <w:tmpl w:val="9C1A18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1"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7"/>
  </w:num>
  <w:num w:numId="12" w16cid:durableId="1955596087">
    <w:abstractNumId w:val="16"/>
  </w:num>
  <w:num w:numId="13" w16cid:durableId="1646624352">
    <w:abstractNumId w:val="23"/>
  </w:num>
  <w:num w:numId="14" w16cid:durableId="889342878">
    <w:abstractNumId w:val="10"/>
  </w:num>
  <w:num w:numId="15" w16cid:durableId="175116329">
    <w:abstractNumId w:val="21"/>
  </w:num>
  <w:num w:numId="16" w16cid:durableId="1290815739">
    <w:abstractNumId w:val="12"/>
  </w:num>
  <w:num w:numId="17" w16cid:durableId="953707523">
    <w:abstractNumId w:val="18"/>
  </w:num>
  <w:num w:numId="18" w16cid:durableId="1883134567">
    <w:abstractNumId w:val="15"/>
  </w:num>
  <w:num w:numId="19" w16cid:durableId="354963398">
    <w:abstractNumId w:val="24"/>
  </w:num>
  <w:num w:numId="20" w16cid:durableId="1898515654">
    <w:abstractNumId w:val="11"/>
  </w:num>
  <w:num w:numId="21" w16cid:durableId="1421024264">
    <w:abstractNumId w:val="25"/>
  </w:num>
  <w:num w:numId="22" w16cid:durableId="1478104284">
    <w:abstractNumId w:val="19"/>
  </w:num>
  <w:num w:numId="23" w16cid:durableId="4260030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7"/>
  </w:num>
  <w:num w:numId="25" w16cid:durableId="18568423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0490254">
    <w:abstractNumId w:val="20"/>
  </w:num>
  <w:num w:numId="27" w16cid:durableId="995499403">
    <w:abstractNumId w:val="14"/>
  </w:num>
  <w:num w:numId="28" w16cid:durableId="15077883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9505B"/>
    <w:rsid w:val="000A2750"/>
    <w:rsid w:val="000A5C66"/>
    <w:rsid w:val="000B026F"/>
    <w:rsid w:val="000B0B51"/>
    <w:rsid w:val="000B506B"/>
    <w:rsid w:val="000C769E"/>
    <w:rsid w:val="000D3CF0"/>
    <w:rsid w:val="000E1C2A"/>
    <w:rsid w:val="000E56B0"/>
    <w:rsid w:val="000E591A"/>
    <w:rsid w:val="000E6702"/>
    <w:rsid w:val="000F1C7E"/>
    <w:rsid w:val="00101FDB"/>
    <w:rsid w:val="00105659"/>
    <w:rsid w:val="001112C3"/>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326C"/>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0341"/>
    <w:rsid w:val="003F6EC9"/>
    <w:rsid w:val="004032E1"/>
    <w:rsid w:val="00412760"/>
    <w:rsid w:val="0041465D"/>
    <w:rsid w:val="00426BD4"/>
    <w:rsid w:val="0043287B"/>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1E48"/>
    <w:rsid w:val="006846A4"/>
    <w:rsid w:val="006965DF"/>
    <w:rsid w:val="006A147F"/>
    <w:rsid w:val="006B5C65"/>
    <w:rsid w:val="006B736C"/>
    <w:rsid w:val="006C4359"/>
    <w:rsid w:val="006D018C"/>
    <w:rsid w:val="006D170B"/>
    <w:rsid w:val="006D313E"/>
    <w:rsid w:val="006D62D9"/>
    <w:rsid w:val="006D7173"/>
    <w:rsid w:val="006D7994"/>
    <w:rsid w:val="006E2E2F"/>
    <w:rsid w:val="006E4D94"/>
    <w:rsid w:val="006F643B"/>
    <w:rsid w:val="00707D13"/>
    <w:rsid w:val="0071186D"/>
    <w:rsid w:val="00713ABC"/>
    <w:rsid w:val="00715F3F"/>
    <w:rsid w:val="00722877"/>
    <w:rsid w:val="00730AF9"/>
    <w:rsid w:val="00736ACB"/>
    <w:rsid w:val="00740861"/>
    <w:rsid w:val="0074375D"/>
    <w:rsid w:val="007512C5"/>
    <w:rsid w:val="00752AC5"/>
    <w:rsid w:val="00753A4D"/>
    <w:rsid w:val="007555D2"/>
    <w:rsid w:val="00767804"/>
    <w:rsid w:val="00770766"/>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D62B8"/>
    <w:rsid w:val="007E0DB1"/>
    <w:rsid w:val="007F283F"/>
    <w:rsid w:val="00801416"/>
    <w:rsid w:val="0080617C"/>
    <w:rsid w:val="00807045"/>
    <w:rsid w:val="008076E3"/>
    <w:rsid w:val="008077BD"/>
    <w:rsid w:val="0081323F"/>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C00BE"/>
    <w:rsid w:val="008C113E"/>
    <w:rsid w:val="008C2066"/>
    <w:rsid w:val="008C297C"/>
    <w:rsid w:val="008D1BBD"/>
    <w:rsid w:val="008D4422"/>
    <w:rsid w:val="008D582C"/>
    <w:rsid w:val="008D5D2D"/>
    <w:rsid w:val="008D7D25"/>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1D7"/>
    <w:rsid w:val="00B2349D"/>
    <w:rsid w:val="00B23D8F"/>
    <w:rsid w:val="00B4097A"/>
    <w:rsid w:val="00B51286"/>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68DA"/>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7009E"/>
    <w:rsid w:val="00E8397C"/>
    <w:rsid w:val="00E8666B"/>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196"/>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2.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615F76-B593-4600-AF74-2E5638B85376}">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6</Pages>
  <Words>1844</Words>
  <Characters>11622</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13440</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Roedig, Stefan GIZ</cp:lastModifiedBy>
  <cp:revision>12</cp:revision>
  <dcterms:created xsi:type="dcterms:W3CDTF">2026-07-14T16:17:00Z</dcterms:created>
  <dcterms:modified xsi:type="dcterms:W3CDTF">2026-10-05T12:10:00Z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